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7D" w:rsidRPr="00A33D75" w:rsidRDefault="000A7F7D" w:rsidP="000A7F7D">
      <w:pPr>
        <w:spacing w:after="160" w:line="259" w:lineRule="auto"/>
        <w:ind w:left="360"/>
        <w:jc w:val="right"/>
        <w:rPr>
          <w:rFonts w:asciiTheme="minorHAnsi" w:eastAsia="SimSun" w:hAnsiTheme="minorHAnsi" w:cstheme="minorHAnsi"/>
          <w:i/>
          <w:kern w:val="1"/>
          <w:sz w:val="18"/>
          <w:szCs w:val="18"/>
          <w:lang w:eastAsia="zh-CN" w:bidi="hi-IN"/>
        </w:rPr>
      </w:pPr>
      <w:r w:rsidRPr="00A33D75">
        <w:rPr>
          <w:rFonts w:asciiTheme="minorHAnsi" w:eastAsia="SimSun" w:hAnsiTheme="minorHAnsi" w:cstheme="minorHAnsi"/>
          <w:i/>
          <w:kern w:val="1"/>
          <w:sz w:val="18"/>
          <w:szCs w:val="18"/>
          <w:lang w:eastAsia="zh-CN" w:bidi="hi-IN"/>
        </w:rPr>
        <w:t xml:space="preserve">Załącznik </w:t>
      </w:r>
      <w:r>
        <w:rPr>
          <w:rFonts w:asciiTheme="minorHAnsi" w:eastAsia="SimSun" w:hAnsiTheme="minorHAnsi" w:cstheme="minorHAnsi"/>
          <w:i/>
          <w:kern w:val="1"/>
          <w:sz w:val="18"/>
          <w:szCs w:val="18"/>
          <w:lang w:eastAsia="zh-CN" w:bidi="hi-IN"/>
        </w:rPr>
        <w:t>nr 1</w:t>
      </w:r>
      <w:r w:rsidR="00185677" w:rsidRPr="00185677">
        <w:rPr>
          <w:i/>
          <w:sz w:val="18"/>
          <w:szCs w:val="18"/>
        </w:rPr>
        <w:t xml:space="preserve"> </w:t>
      </w:r>
      <w:r w:rsidR="00185677">
        <w:rPr>
          <w:i/>
          <w:sz w:val="18"/>
          <w:szCs w:val="18"/>
        </w:rPr>
        <w:t>do Uchwały RD 28</w:t>
      </w:r>
      <w:bookmarkStart w:id="0" w:name="_GoBack"/>
      <w:bookmarkEnd w:id="0"/>
      <w:r w:rsidR="00185677" w:rsidRPr="00BE6452">
        <w:rPr>
          <w:i/>
          <w:sz w:val="18"/>
          <w:szCs w:val="18"/>
        </w:rPr>
        <w:t>/2020 z dnia 30.06.2020r.</w:t>
      </w:r>
    </w:p>
    <w:p w:rsidR="000A7F7D" w:rsidRPr="00A33D75" w:rsidRDefault="000A7F7D" w:rsidP="000A7F7D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b/>
          <w:kern w:val="1"/>
          <w:lang w:eastAsia="zh-CN" w:bidi="hi-IN"/>
        </w:rPr>
        <w:t>Zasady wyznaczania i zmiany promotora, promotorów lub promotora pomocniczego w celu sprawowania opieki naukowej nad kandydatem do stopnia doktora w dyscyplinie nauki farmaceutyczne w trybie eksternistycznym</w:t>
      </w:r>
    </w:p>
    <w:p w:rsidR="000A7F7D" w:rsidRPr="00A33D75" w:rsidRDefault="000A7F7D" w:rsidP="000A7F7D">
      <w:pPr>
        <w:widowControl w:val="0"/>
        <w:suppressAutoHyphens/>
        <w:ind w:left="66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ind w:left="66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Kandydat ubiegający się o stopień doktora w trybie eksternistycznym przed wszczęciem postępowania w sprawie nadania stopnia doktora składa do Rady Dyscypliny Nauki Farmaceutyczne wniosek </w:t>
      </w:r>
      <w:r w:rsidRPr="00A33D75"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 xml:space="preserve">(załącznik nr </w:t>
      </w:r>
      <w:r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>2</w:t>
      </w:r>
      <w:r w:rsidRPr="00A33D75"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 xml:space="preserve">) 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o wyznaczenie:</w:t>
      </w:r>
    </w:p>
    <w:p w:rsidR="000A7F7D" w:rsidRPr="00A33D75" w:rsidRDefault="000A7F7D" w:rsidP="000A7F7D">
      <w:pPr>
        <w:widowControl w:val="0"/>
        <w:suppressAutoHyphens/>
        <w:ind w:left="66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ind w:left="66" w:firstLine="64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a) promotora lub</w:t>
      </w:r>
    </w:p>
    <w:p w:rsidR="000A7F7D" w:rsidRPr="00A33D75" w:rsidRDefault="000A7F7D" w:rsidP="000A7F7D">
      <w:pPr>
        <w:widowControl w:val="0"/>
        <w:suppressAutoHyphens/>
        <w:ind w:left="66" w:firstLine="64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b) promotorów lub</w:t>
      </w:r>
    </w:p>
    <w:p w:rsidR="000A7F7D" w:rsidRPr="00A33D75" w:rsidRDefault="000A7F7D" w:rsidP="000A7F7D">
      <w:pPr>
        <w:widowControl w:val="0"/>
        <w:suppressAutoHyphens/>
        <w:ind w:left="66" w:firstLine="64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c) promotora i promotora pomocniczego.</w:t>
      </w:r>
    </w:p>
    <w:p w:rsidR="000A7F7D" w:rsidRPr="00A33D75" w:rsidRDefault="000A7F7D" w:rsidP="000A7F7D">
      <w:pPr>
        <w:widowControl w:val="0"/>
        <w:suppressAutoHyphens/>
        <w:ind w:left="66" w:firstLine="64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Kandydat może zaproponować osobę lub osoby do ww. funkcji.</w:t>
      </w:r>
    </w:p>
    <w:p w:rsidR="000A7F7D" w:rsidRPr="00A33D75" w:rsidRDefault="000A7F7D" w:rsidP="000A7F7D">
      <w:pPr>
        <w:widowControl w:val="0"/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We wniosku kandydat:</w:t>
      </w:r>
    </w:p>
    <w:p w:rsidR="000A7F7D" w:rsidRPr="00A33D75" w:rsidRDefault="000A7F7D" w:rsidP="000A7F7D">
      <w:pPr>
        <w:autoSpaceDE w:val="0"/>
        <w:autoSpaceDN w:val="0"/>
        <w:adjustRightInd w:val="0"/>
        <w:spacing w:after="28"/>
        <w:ind w:left="993" w:hanging="273"/>
        <w:jc w:val="both"/>
        <w:rPr>
          <w:rFonts w:asciiTheme="minorHAnsi" w:eastAsiaTheme="minorHAnsi" w:hAnsiTheme="minorHAnsi" w:cstheme="minorHAnsi"/>
          <w:lang w:eastAsia="en-US"/>
        </w:rPr>
      </w:pPr>
      <w:r w:rsidRPr="00A33D75">
        <w:rPr>
          <w:rFonts w:asciiTheme="minorHAnsi" w:eastAsiaTheme="minorHAnsi" w:hAnsiTheme="minorHAnsi" w:cstheme="minorHAnsi"/>
          <w:lang w:eastAsia="en-US"/>
        </w:rPr>
        <w:t>a) przedstawia propozycję tematu rozprawy doktorskiej oraz planowany termin jej złożenia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b) koncepcję rozprawy doktorskiej ze wskazaniem dziedziny nauki albo sztuki i dyscypliny naukowej albo artystycznej, w zakresie których przygotowana jest rozprawa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c) w przypadku propozycji wskazania </w:t>
      </w:r>
      <w:r w:rsidRPr="00A33D75">
        <w:rPr>
          <w:rFonts w:asciiTheme="minorHAnsi" w:eastAsia="SimSun" w:hAnsiTheme="minorHAnsi" w:cstheme="minorHAnsi"/>
          <w:kern w:val="1"/>
          <w:u w:val="single"/>
          <w:lang w:eastAsia="zh-CN" w:bidi="hi-IN"/>
        </w:rPr>
        <w:t>drugiego promotora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 lub </w:t>
      </w:r>
      <w:r w:rsidRPr="00A33D75">
        <w:rPr>
          <w:rFonts w:asciiTheme="minorHAnsi" w:eastAsia="SimSun" w:hAnsiTheme="minorHAnsi" w:cstheme="minorHAnsi"/>
          <w:kern w:val="1"/>
          <w:u w:val="single"/>
          <w:lang w:eastAsia="zh-CN" w:bidi="hi-IN"/>
        </w:rPr>
        <w:t>promotora pomocniczego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 w opisie koncepcji rozprawy doktorskiej przedstawiony musi być zakres ich zadań wraz z uzasadnieniem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d) oświadczenie o zgodzie na przetwarzanie danych (</w:t>
      </w:r>
      <w:r w:rsidRPr="00A33D75"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 xml:space="preserve">załącznik nr </w:t>
      </w:r>
      <w:r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>3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)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color w:val="FF0000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Do wniosku kandydat dołącza:</w:t>
      </w:r>
    </w:p>
    <w:p w:rsidR="000A7F7D" w:rsidRPr="00A33D75" w:rsidRDefault="000A7F7D" w:rsidP="000A7F7D">
      <w:pPr>
        <w:autoSpaceDE w:val="0"/>
        <w:autoSpaceDN w:val="0"/>
        <w:adjustRightInd w:val="0"/>
        <w:spacing w:after="28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 w:rsidRPr="00A33D75">
        <w:rPr>
          <w:rFonts w:asciiTheme="minorHAnsi" w:eastAsiaTheme="minorHAnsi" w:hAnsiTheme="minorHAnsi" w:cstheme="minorHAnsi"/>
          <w:lang w:eastAsia="en-US"/>
        </w:rPr>
        <w:t>a) życiorys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b) zgodę kandydata/kandydatów do pełnienia funkcji promotora, promotorów lub promotora pomocniczego oraz oświadczenie </w:t>
      </w:r>
      <w:r w:rsidRPr="00A33D75"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 xml:space="preserve">(załącznik nr </w:t>
      </w:r>
      <w:r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>4</w:t>
      </w:r>
      <w:r w:rsidRPr="00A33D75">
        <w:rPr>
          <w:rFonts w:asciiTheme="minorHAnsi" w:eastAsia="SimSun" w:hAnsiTheme="minorHAnsi" w:cstheme="minorHAnsi"/>
          <w:color w:val="5B9BD5" w:themeColor="accent1"/>
          <w:kern w:val="1"/>
          <w:lang w:eastAsia="zh-CN" w:bidi="hi-IN"/>
        </w:rPr>
        <w:t>)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, iż spełnia(–ją) wymogi określone w art. 190 ust. 6 Ustawy Prawo o Szkolnictwie Wyższym z dnia 20 lipca 2018 r. z </w:t>
      </w:r>
      <w:proofErr w:type="spellStart"/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późn</w:t>
      </w:r>
      <w:proofErr w:type="spellEnd"/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. zm.*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c) w przypadku propozycji wskazania </w:t>
      </w:r>
      <w:r w:rsidRPr="00A33D75">
        <w:rPr>
          <w:rFonts w:asciiTheme="minorHAnsi" w:eastAsia="SimSun" w:hAnsiTheme="minorHAnsi" w:cstheme="minorHAnsi"/>
          <w:kern w:val="1"/>
          <w:u w:val="single"/>
          <w:lang w:eastAsia="zh-CN" w:bidi="hi-IN"/>
        </w:rPr>
        <w:t>promotora pomocniczego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 - charakterystykę doświadczenia zawodowego i dorobku naukowego wraz z listą publikacji kandydata na promotora pomocniczego potwierdzoną przez Bibliotekę Medyczną CM UMK.</w:t>
      </w:r>
    </w:p>
    <w:p w:rsidR="000A7F7D" w:rsidRPr="00A33D75" w:rsidRDefault="000A7F7D" w:rsidP="000A7F7D">
      <w:pPr>
        <w:widowControl w:val="0"/>
        <w:suppressAutoHyphens/>
        <w:ind w:left="993" w:hanging="273"/>
        <w:contextualSpacing/>
        <w:jc w:val="both"/>
        <w:rPr>
          <w:rFonts w:asciiTheme="minorHAnsi" w:eastAsia="SimSun" w:hAnsiTheme="minorHAnsi" w:cstheme="minorHAnsi"/>
          <w:color w:val="FF0000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bCs/>
          <w:kern w:val="1"/>
          <w:u w:val="single"/>
          <w:lang w:eastAsia="zh-CN" w:bidi="hi-IN"/>
        </w:rPr>
        <w:t>Drugiego promotora</w:t>
      </w:r>
      <w:r w:rsidRPr="00A33D75">
        <w:rPr>
          <w:rFonts w:asciiTheme="minorHAnsi" w:eastAsia="SimSun" w:hAnsiTheme="minorHAnsi" w:cstheme="minorHAnsi"/>
          <w:bCs/>
          <w:kern w:val="1"/>
          <w:lang w:eastAsia="zh-CN" w:bidi="hi-IN"/>
        </w:rPr>
        <w:t xml:space="preserve"> można powołać w przypadku przewodów doktorskich prowadzonych w ramach:</w:t>
      </w:r>
    </w:p>
    <w:p w:rsidR="000A7F7D" w:rsidRPr="00A33D75" w:rsidRDefault="000A7F7D" w:rsidP="000A7F7D">
      <w:pPr>
        <w:widowControl w:val="0"/>
        <w:suppressAutoHyphens/>
        <w:ind w:left="567" w:firstLine="142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bCs/>
          <w:kern w:val="1"/>
          <w:lang w:eastAsia="zh-CN" w:bidi="hi-IN"/>
        </w:rPr>
        <w:t>a) udokumentowanej współpracy międzynarodowej lub</w:t>
      </w:r>
    </w:p>
    <w:p w:rsidR="000A7F7D" w:rsidRPr="00A33D75" w:rsidRDefault="000A7F7D" w:rsidP="000A7F7D">
      <w:pPr>
        <w:widowControl w:val="0"/>
        <w:suppressAutoHyphens/>
        <w:ind w:left="567" w:firstLine="142"/>
        <w:jc w:val="both"/>
        <w:rPr>
          <w:rFonts w:asciiTheme="minorHAnsi" w:eastAsia="SimSun" w:hAnsiTheme="minorHAnsi" w:cstheme="minorHAnsi"/>
          <w:bCs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bCs/>
          <w:kern w:val="1"/>
          <w:lang w:eastAsia="zh-CN" w:bidi="hi-IN"/>
        </w:rPr>
        <w:t>b) interdyscyplinarnej rozprawy doktorskiej.</w:t>
      </w:r>
    </w:p>
    <w:p w:rsidR="000A7F7D" w:rsidRPr="00A33D75" w:rsidRDefault="000A7F7D" w:rsidP="000A7F7D">
      <w:pPr>
        <w:widowControl w:val="0"/>
        <w:suppressAutoHyphens/>
        <w:ind w:left="567" w:firstLine="142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u w:val="single"/>
          <w:lang w:eastAsia="zh-CN" w:bidi="hi-IN"/>
        </w:rPr>
        <w:t>Promotorem pomocniczym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 może być osoba:</w:t>
      </w:r>
    </w:p>
    <w:p w:rsidR="000A7F7D" w:rsidRPr="00A33D75" w:rsidRDefault="000A7F7D" w:rsidP="000A7F7D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posiadająca stopień doktora (w dziedzinie/dyscyplinie w której realizowana jest rozprawa doktorska lub w pokrewnej), który pełni istotną rolę wspomagającą w opiece 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lastRenderedPageBreak/>
        <w:t xml:space="preserve">nad doktorantem </w:t>
      </w:r>
    </w:p>
    <w:p w:rsidR="000A7F7D" w:rsidRPr="00A33D75" w:rsidRDefault="000A7F7D" w:rsidP="000A7F7D">
      <w:pPr>
        <w:widowControl w:val="0"/>
        <w:suppressAutoHyphens/>
        <w:ind w:left="78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oraz</w:t>
      </w:r>
    </w:p>
    <w:p w:rsidR="000A7F7D" w:rsidRPr="00A33D75" w:rsidRDefault="000A7F7D" w:rsidP="000A7F7D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jest pracownikiem uniwersytetu, instytutu lub innej jednostki organizacyjnej prowadzącej działalność badawczo-dydaktyczną lub badawczą i posiada dorobek naukowy spójny z tematyką doktoratu.</w:t>
      </w:r>
    </w:p>
    <w:p w:rsidR="000A7F7D" w:rsidRPr="00A33D75" w:rsidRDefault="000A7F7D" w:rsidP="000A7F7D">
      <w:pPr>
        <w:widowControl w:val="0"/>
        <w:suppressAutoHyphens/>
        <w:ind w:left="78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Promotor pomocniczy może sprawować opiekę nad maksymalnie jedną osobą aż do czasu uzyskania przez nią stopnia doktora.</w:t>
      </w:r>
    </w:p>
    <w:p w:rsidR="000A7F7D" w:rsidRPr="00A33D75" w:rsidRDefault="000A7F7D" w:rsidP="000A7F7D">
      <w:pPr>
        <w:widowControl w:val="0"/>
        <w:suppressAutoHyphens/>
        <w:ind w:left="426"/>
        <w:contextualSpacing/>
        <w:jc w:val="both"/>
        <w:rPr>
          <w:rFonts w:asciiTheme="minorHAnsi" w:eastAsia="SimSun" w:hAnsiTheme="minorHAnsi" w:cstheme="minorHAnsi"/>
          <w:strike/>
          <w:kern w:val="23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Arial" w:hAnsiTheme="minorHAnsi" w:cstheme="minorHAnsi"/>
          <w:kern w:val="1"/>
          <w:lang w:eastAsia="zh-CN" w:bidi="hi-IN"/>
        </w:rPr>
        <w:t>Wydziałowa Komisja ds. Nauki opiniuje kandydatów na promotora, promotorów lub promotora i promotora pomocniczego w celu sprawowania opieki nad kandydatem do stopnia doktora.</w:t>
      </w:r>
    </w:p>
    <w:p w:rsidR="000A7F7D" w:rsidRPr="00A33D75" w:rsidRDefault="000A7F7D" w:rsidP="000A7F7D">
      <w:pPr>
        <w:widowControl w:val="0"/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Arial" w:hAnsiTheme="minorHAnsi" w:cstheme="minorHAnsi"/>
          <w:kern w:val="1"/>
          <w:lang w:eastAsia="zh-CN" w:bidi="hi-IN"/>
        </w:rPr>
        <w:t>Rada Dyscypliny Nauki Farmaceutyczne podejmuje uchwałę w sprawie wyznaczenia promotora, promotorów lub promotora i promotora pomocniczego w celu sprawowania opieki naukowej nad kandydatem.</w:t>
      </w:r>
    </w:p>
    <w:p w:rsidR="000A7F7D" w:rsidRPr="00A33D75" w:rsidRDefault="000A7F7D" w:rsidP="000A7F7D">
      <w:pPr>
        <w:widowControl w:val="0"/>
        <w:suppressAutoHyphens/>
        <w:ind w:left="720"/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bCs/>
          <w:kern w:val="1"/>
          <w:lang w:eastAsia="zh-CN" w:bidi="hi-IN"/>
        </w:rPr>
        <w:t>Uchwałę doręcza się kandydatowi oraz promotorowi lub promotorom, w tym promotorowi pomocniczemu.</w:t>
      </w:r>
    </w:p>
    <w:p w:rsidR="000A7F7D" w:rsidRPr="00A33D75" w:rsidRDefault="000A7F7D" w:rsidP="000A7F7D">
      <w:pPr>
        <w:widowControl w:val="0"/>
        <w:suppressAutoHyphens/>
        <w:ind w:left="720"/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W szczególnie uzasadnionych przypadkach </w:t>
      </w:r>
      <w:r w:rsidRPr="00A33D75">
        <w:rPr>
          <w:rFonts w:asciiTheme="minorHAnsi" w:eastAsia="Arial" w:hAnsiTheme="minorHAnsi" w:cstheme="minorHAnsi"/>
          <w:kern w:val="1"/>
          <w:lang w:eastAsia="zh-CN" w:bidi="hi-IN"/>
        </w:rPr>
        <w:t xml:space="preserve">Rada Dyscypliny Nauki Farmaceutyczne </w:t>
      </w: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 xml:space="preserve">może dokonać zmiany promotora lub promotorów. </w:t>
      </w:r>
    </w:p>
    <w:p w:rsidR="000A7F7D" w:rsidRPr="00A33D75" w:rsidRDefault="000A7F7D" w:rsidP="000A7F7D">
      <w:pPr>
        <w:widowControl w:val="0"/>
        <w:suppressAutoHyphens/>
        <w:ind w:left="720"/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Zmiana promotora lub promotorów może nastąpić na wniosek kandydata lub promotora.</w:t>
      </w:r>
    </w:p>
    <w:p w:rsidR="000A7F7D" w:rsidRPr="00A33D75" w:rsidRDefault="000A7F7D" w:rsidP="000A7F7D">
      <w:pPr>
        <w:widowControl w:val="0"/>
        <w:suppressAutoHyphens/>
        <w:ind w:left="720"/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numPr>
          <w:ilvl w:val="0"/>
          <w:numId w:val="1"/>
        </w:numPr>
        <w:suppressAutoHyphens/>
        <w:ind w:left="426"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3D75">
        <w:rPr>
          <w:rFonts w:asciiTheme="minorHAnsi" w:eastAsia="SimSun" w:hAnsiTheme="minorHAnsi" w:cstheme="minorHAnsi"/>
          <w:kern w:val="1"/>
          <w:lang w:eastAsia="zh-CN" w:bidi="hi-IN"/>
        </w:rPr>
        <w:t>Uchwałę o zmianie doręcza się kandydatowi oraz promotorowi lub promotorom.</w:t>
      </w:r>
    </w:p>
    <w:p w:rsidR="000A7F7D" w:rsidRPr="00A33D75" w:rsidRDefault="000A7F7D" w:rsidP="000A7F7D">
      <w:pPr>
        <w:widowControl w:val="0"/>
        <w:suppressAutoHyphens/>
        <w:rPr>
          <w:rFonts w:asciiTheme="minorHAnsi" w:eastAsia="Arial" w:hAnsiTheme="minorHAnsi" w:cstheme="minorHAnsi"/>
          <w:kern w:val="1"/>
          <w:lang w:eastAsia="zh-CN" w:bidi="hi-IN"/>
        </w:rPr>
      </w:pPr>
      <w:r w:rsidRPr="00A33D75">
        <w:rPr>
          <w:rFonts w:asciiTheme="minorHAnsi" w:eastAsia="Arial" w:hAnsiTheme="minorHAnsi" w:cstheme="minorHAnsi"/>
          <w:kern w:val="1"/>
          <w:lang w:eastAsia="zh-CN" w:bidi="hi-IN"/>
        </w:rPr>
        <w:tab/>
      </w:r>
    </w:p>
    <w:p w:rsidR="000A7F7D" w:rsidRPr="00A33D75" w:rsidRDefault="000A7F7D" w:rsidP="000A7F7D">
      <w:pPr>
        <w:widowControl w:val="0"/>
        <w:suppressAutoHyphens/>
        <w:rPr>
          <w:rFonts w:asciiTheme="minorHAnsi" w:eastAsia="Arial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rPr>
          <w:rFonts w:asciiTheme="minorHAnsi" w:eastAsia="Arial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rPr>
          <w:rFonts w:asciiTheme="minorHAnsi" w:eastAsia="Arial" w:hAnsiTheme="minorHAnsi" w:cstheme="minorHAnsi"/>
          <w:kern w:val="1"/>
          <w:lang w:eastAsia="zh-CN" w:bidi="hi-IN"/>
        </w:rPr>
      </w:pPr>
    </w:p>
    <w:p w:rsidR="000A7F7D" w:rsidRPr="00A33D75" w:rsidRDefault="000A7F7D" w:rsidP="000A7F7D">
      <w:pPr>
        <w:widowControl w:val="0"/>
        <w:suppressAutoHyphens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A33D75">
        <w:rPr>
          <w:rFonts w:asciiTheme="minorHAnsi" w:eastAsia="Arial" w:hAnsiTheme="minorHAnsi" w:cstheme="minorHAnsi"/>
          <w:kern w:val="1"/>
          <w:sz w:val="20"/>
          <w:szCs w:val="20"/>
          <w:lang w:eastAsia="zh-CN" w:bidi="hi-IN"/>
        </w:rPr>
        <w:t>*</w:t>
      </w:r>
      <w:r w:rsidRPr="00A33D75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 xml:space="preserve"> art. 190 ust. 6 Ustawy Prawo o Szkolnictwie Wyższym z dnia 20 lipca 2018 r. z </w:t>
      </w:r>
      <w:proofErr w:type="spellStart"/>
      <w:r w:rsidRPr="00A33D75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późn</w:t>
      </w:r>
      <w:proofErr w:type="spellEnd"/>
      <w:r w:rsidRPr="00A33D75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. zm.*</w:t>
      </w:r>
    </w:p>
    <w:p w:rsidR="000A7F7D" w:rsidRPr="00A33D75" w:rsidRDefault="000A7F7D" w:rsidP="000A7F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Pr="00A33D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Promotorem nie może zostać osoba, która w okresie ostatnich 5 lat: </w:t>
      </w:r>
    </w:p>
    <w:p w:rsidR="000A7F7D" w:rsidRPr="00A33D75" w:rsidRDefault="000A7F7D" w:rsidP="000A7F7D">
      <w:pPr>
        <w:autoSpaceDE w:val="0"/>
        <w:autoSpaceDN w:val="0"/>
        <w:adjustRightInd w:val="0"/>
        <w:ind w:left="851" w:hanging="14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3D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1) była promotorem 4 doktorantów, którzy zostali skreśleni z listy doktorantów z powodu negatywnego wyniku oceny śródokresowej, lub </w:t>
      </w:r>
    </w:p>
    <w:p w:rsidR="00DE60B0" w:rsidRDefault="000A7F7D" w:rsidP="000A7F7D">
      <w:r w:rsidRPr="00A33D75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2) sprawowała opiekę nad przygotowaniem rozprawy przez co najmniej 2 osoby ubiegające się o stopień doktora, które nie uzyskały pozytywnych recenzji, o których mowa w art. 191 ust. 1.</w:t>
      </w:r>
    </w:p>
    <w:sectPr w:rsidR="00DE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D6D64"/>
    <w:multiLevelType w:val="hybridMultilevel"/>
    <w:tmpl w:val="985A3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1848"/>
    <w:multiLevelType w:val="hybridMultilevel"/>
    <w:tmpl w:val="F5C894C6"/>
    <w:lvl w:ilvl="0" w:tplc="E646AE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D"/>
    <w:rsid w:val="000A7F7D"/>
    <w:rsid w:val="00185677"/>
    <w:rsid w:val="00D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ECD5-3E63-426E-A41B-68FF8E4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4</cp:revision>
  <dcterms:created xsi:type="dcterms:W3CDTF">2020-07-24T10:46:00Z</dcterms:created>
  <dcterms:modified xsi:type="dcterms:W3CDTF">2020-07-30T08:00:00Z</dcterms:modified>
</cp:coreProperties>
</file>